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2EC0" w14:textId="62FA9E0A" w:rsidR="00F3357F" w:rsidRPr="001855BC" w:rsidRDefault="00F3357F" w:rsidP="001855BC">
      <w:pPr>
        <w:jc w:val="center"/>
        <w:rPr>
          <w:color w:val="FF0000"/>
        </w:rPr>
      </w:pPr>
      <w:r w:rsidRPr="001855BC">
        <w:rPr>
          <w:color w:val="FF0000"/>
        </w:rPr>
        <w:t xml:space="preserve">FE DE ERRATAS – versión </w:t>
      </w:r>
      <w:r w:rsidR="0014262B">
        <w:rPr>
          <w:color w:val="FF0000"/>
        </w:rPr>
        <w:t>rústica</w:t>
      </w:r>
    </w:p>
    <w:p w14:paraId="5FBB3F6D" w14:textId="44B04A8A" w:rsidR="002D1BBF" w:rsidRPr="005A53DD" w:rsidRDefault="002D1BBF" w:rsidP="002D1BBF">
      <w:pPr>
        <w:jc w:val="both"/>
        <w:rPr>
          <w:lang w:val="es-CO"/>
        </w:rPr>
      </w:pPr>
      <w:r w:rsidRPr="002D1BBF">
        <w:br/>
      </w:r>
      <w:proofErr w:type="gramStart"/>
      <w:r w:rsidRPr="002D1BBF">
        <w:t>En relación a</w:t>
      </w:r>
      <w:proofErr w:type="gramEnd"/>
      <w:r>
        <w:t xml:space="preserve"> </w:t>
      </w:r>
      <w:r w:rsidRPr="002D1BBF">
        <w:t>l</w:t>
      </w:r>
      <w:r>
        <w:t>a</w:t>
      </w:r>
      <w:r w:rsidRPr="002D1BBF">
        <w:t xml:space="preserve"> </w:t>
      </w:r>
      <w:r>
        <w:t xml:space="preserve">obra </w:t>
      </w:r>
      <w:r w:rsidRPr="002D1BBF">
        <w:t>titulad</w:t>
      </w:r>
      <w:r>
        <w:t xml:space="preserve">a </w:t>
      </w:r>
      <w:r w:rsidRPr="002D1BBF">
        <w:t xml:space="preserve">Código de Comercio de Chile </w:t>
      </w:r>
      <w:r w:rsidR="005A53DD">
        <w:t>5</w:t>
      </w:r>
      <w:r w:rsidRPr="002D1BBF">
        <w:t>ª Edición con apéndice legislativo. Índices temático y analítico</w:t>
      </w:r>
      <w:r>
        <w:t xml:space="preserve">, </w:t>
      </w:r>
      <w:r w:rsidRPr="002D1BBF">
        <w:t>Autor: </w:t>
      </w:r>
      <w:hyperlink r:id="rId5" w:history="1">
        <w:r w:rsidRPr="002D1BBF">
          <w:t>Manuel Bernet Páez</w:t>
        </w:r>
      </w:hyperlink>
      <w:r>
        <w:t xml:space="preserve">, </w:t>
      </w:r>
      <w:r w:rsidRPr="002D1BBF">
        <w:rPr>
          <w:b/>
          <w:bCs/>
        </w:rPr>
        <w:t>Fecha publicación:</w:t>
      </w:r>
      <w:r>
        <w:rPr>
          <w:b/>
          <w:bCs/>
        </w:rPr>
        <w:t xml:space="preserve"> </w:t>
      </w:r>
      <w:r w:rsidRPr="002D1BBF">
        <w:t>17/02/2025</w:t>
      </w:r>
      <w:r>
        <w:t xml:space="preserve">, </w:t>
      </w:r>
      <w:r w:rsidRPr="002D1BBF">
        <w:rPr>
          <w:b/>
          <w:bCs/>
        </w:rPr>
        <w:t>Editorial:</w:t>
      </w:r>
      <w:r>
        <w:rPr>
          <w:b/>
          <w:bCs/>
        </w:rPr>
        <w:t xml:space="preserve"> </w:t>
      </w:r>
      <w:r w:rsidRPr="002D1BBF">
        <w:t>Editorial Tirant Lo Blanch</w:t>
      </w:r>
      <w:r>
        <w:t xml:space="preserve">, </w:t>
      </w:r>
      <w:r w:rsidRPr="002D1BBF">
        <w:rPr>
          <w:b/>
          <w:bCs/>
        </w:rPr>
        <w:t>Colección:</w:t>
      </w:r>
      <w:r>
        <w:rPr>
          <w:b/>
          <w:bCs/>
        </w:rPr>
        <w:t xml:space="preserve"> </w:t>
      </w:r>
      <w:hyperlink r:id="rId6" w:history="1">
        <w:r w:rsidRPr="002D1BBF">
          <w:rPr>
            <w:rStyle w:val="Hipervnculo"/>
          </w:rPr>
          <w:t>Códigos de la República</w:t>
        </w:r>
      </w:hyperlink>
      <w:r>
        <w:t xml:space="preserve">, </w:t>
      </w:r>
      <w:r w:rsidR="00C00F42" w:rsidRPr="00C00F42">
        <w:t>5ª Edición / 1156 págs. / Rústica / Castellano / Libro</w:t>
      </w:r>
      <w:r>
        <w:t xml:space="preserve">. </w:t>
      </w:r>
      <w:proofErr w:type="spellStart"/>
      <w:r w:rsidRPr="002D1BBF">
        <w:rPr>
          <w:b/>
          <w:bCs/>
        </w:rPr>
        <w:t>Isbn</w:t>
      </w:r>
      <w:proofErr w:type="spellEnd"/>
      <w:r w:rsidRPr="002D1BBF">
        <w:rPr>
          <w:b/>
          <w:bCs/>
        </w:rPr>
        <w:t xml:space="preserve"> Papel:</w:t>
      </w:r>
      <w:r>
        <w:rPr>
          <w:b/>
          <w:bCs/>
        </w:rPr>
        <w:t xml:space="preserve"> </w:t>
      </w:r>
      <w:r w:rsidR="005A53DD" w:rsidRPr="005A53DD">
        <w:rPr>
          <w:lang w:val="es-CO"/>
        </w:rPr>
        <w:t>9788410956087</w:t>
      </w:r>
      <w:r>
        <w:t xml:space="preserve">, </w:t>
      </w:r>
      <w:proofErr w:type="spellStart"/>
      <w:r w:rsidRPr="002D1BBF">
        <w:rPr>
          <w:b/>
          <w:bCs/>
        </w:rPr>
        <w:t>Isbn</w:t>
      </w:r>
      <w:proofErr w:type="spellEnd"/>
      <w:r w:rsidRPr="002D1BBF">
        <w:rPr>
          <w:b/>
          <w:bCs/>
        </w:rPr>
        <w:t xml:space="preserve"> </w:t>
      </w:r>
      <w:proofErr w:type="spellStart"/>
      <w:r w:rsidRPr="002D1BBF">
        <w:rPr>
          <w:b/>
          <w:bCs/>
        </w:rPr>
        <w:t>Ebook</w:t>
      </w:r>
      <w:proofErr w:type="spellEnd"/>
      <w:r w:rsidRPr="002D1BBF">
        <w:rPr>
          <w:b/>
          <w:bCs/>
        </w:rPr>
        <w:t>:</w:t>
      </w:r>
      <w:r>
        <w:rPr>
          <w:b/>
          <w:bCs/>
        </w:rPr>
        <w:t xml:space="preserve"> </w:t>
      </w:r>
      <w:r w:rsidR="005A53DD" w:rsidRPr="005A53DD">
        <w:rPr>
          <w:lang w:val="es-CO"/>
        </w:rPr>
        <w:t>9788410956094</w:t>
      </w:r>
      <w:r>
        <w:t xml:space="preserve">, se </w:t>
      </w:r>
      <w:r w:rsidRPr="002D1BBF">
        <w:t>informa que, debido a un error involuntario, se han detectado las siguientes correcciones:</w:t>
      </w:r>
    </w:p>
    <w:p w14:paraId="6D5D1375" w14:textId="7B59455F" w:rsidR="00F3357F" w:rsidRPr="00F3357F" w:rsidRDefault="00F3357F" w:rsidP="00EE2C08">
      <w:pPr>
        <w:jc w:val="both"/>
        <w:rPr>
          <w:color w:val="FF0000"/>
        </w:rPr>
      </w:pPr>
      <w:r w:rsidRPr="00F3357F">
        <w:rPr>
          <w:color w:val="FF0000"/>
        </w:rPr>
        <w:t xml:space="preserve">EN LAS PÁGINAS </w:t>
      </w:r>
      <w:r w:rsidR="00971313">
        <w:rPr>
          <w:color w:val="FF0000"/>
        </w:rPr>
        <w:t>1056</w:t>
      </w:r>
      <w:r w:rsidRPr="00F3357F">
        <w:rPr>
          <w:color w:val="FF0000"/>
        </w:rPr>
        <w:t xml:space="preserve"> a </w:t>
      </w:r>
      <w:r w:rsidR="00971313">
        <w:rPr>
          <w:color w:val="FF0000"/>
        </w:rPr>
        <w:t>1057</w:t>
      </w:r>
      <w:r w:rsidRPr="00F3357F">
        <w:rPr>
          <w:color w:val="FF0000"/>
        </w:rPr>
        <w:t xml:space="preserve"> §2. Disposiciones generales, léase:</w:t>
      </w:r>
    </w:p>
    <w:p w14:paraId="03296CEE" w14:textId="2AC755CF" w:rsidR="00EE2C08" w:rsidRDefault="00EE2C08" w:rsidP="00EE2C08">
      <w:pPr>
        <w:jc w:val="both"/>
      </w:pPr>
      <w:r w:rsidRPr="00F3357F">
        <w:rPr>
          <w:color w:val="FF0000"/>
        </w:rPr>
        <w:t xml:space="preserve">Artículo 4º. </w:t>
      </w:r>
      <w:r>
        <w:t>El comercio de asegurar riesgos a base de primas, sólo podrá hacerse en Chile por sociedades anónimas nacionales de seguros y reaseguros, que tengan por objeto exclusivo el desarrollo de dicho giro y las actividades que sean afines o complementarias a éste, que autorice la Superintendencia mediante norma de carácter general. Las entidades aseguradoras del segundo grupo podrán constituir filiales Administradoras Generales de Fondos, a que se refiere el Título XXVII de la ley Nº 18.045, sujetándose a las normas generales que establezca la Superintendencia.</w:t>
      </w:r>
    </w:p>
    <w:p w14:paraId="67449F68" w14:textId="77777777" w:rsidR="00EE2C08" w:rsidRDefault="00EE2C08" w:rsidP="00EE2C08">
      <w:pPr>
        <w:jc w:val="both"/>
      </w:pPr>
      <w:r>
        <w:t xml:space="preserve">    Sin perjuicio de lo anterior, las entidades aseguradoras extranjeras establecidas en el exterior podrán comercializar en Chile los seguros de transporte marítimo internacional, aviación comercial internacional, mercancías en tránsito internacional y de satélites, y la carga que éstos transportan.</w:t>
      </w:r>
    </w:p>
    <w:p w14:paraId="4EA4346C" w14:textId="77777777" w:rsidR="00EE2C08" w:rsidRDefault="00EE2C08" w:rsidP="00EE2C08">
      <w:pPr>
        <w:jc w:val="both"/>
      </w:pPr>
      <w:r>
        <w:t xml:space="preserve">    Cualquier persona natural o jurídica podrá contratar libremente en el extranjero toda clase de seguros, a excepción de los seguros obligatorios establecidos por ley y aquellos contemplados en el decreto ley N° 3.500, de 1980, los que sólo podrán contratarse con compañías establecidas en el territorio nacional. Asimismo, las entidades aseguradoras y reaseguradoras podrán suscribir riesgos provenientes del extranjero.</w:t>
      </w:r>
    </w:p>
    <w:p w14:paraId="0C7BE356" w14:textId="77777777" w:rsidR="00EE2C08" w:rsidRDefault="00EE2C08" w:rsidP="00EE2C08">
      <w:pPr>
        <w:jc w:val="both"/>
      </w:pPr>
      <w:r>
        <w:t xml:space="preserve">    En los casos señalados en los incisos segundo y tercero precedentes, la contratación de dichos seguros quedará sujeta a la normativa sobre operaciones de cambios internacionales.</w:t>
      </w:r>
    </w:p>
    <w:p w14:paraId="07CD1464" w14:textId="77777777" w:rsidR="00EE2C08" w:rsidRDefault="00EE2C08" w:rsidP="00EE2C08">
      <w:pPr>
        <w:jc w:val="both"/>
      </w:pPr>
      <w:r>
        <w:t xml:space="preserve">    La contratación de seguros con compañías no establecidas en el país estará gravada, sin perjuicio de los que se establezcan en otras leyes, con los mismos tributos que puedan afectar a los seguros contratados con compañías nacionales.</w:t>
      </w:r>
    </w:p>
    <w:p w14:paraId="4F13F6F2" w14:textId="6193F201" w:rsidR="00EE2C08" w:rsidRDefault="00EE2C08" w:rsidP="00EE2C08">
      <w:pPr>
        <w:jc w:val="both"/>
      </w:pPr>
      <w:r>
        <w:t xml:space="preserve">    Además, las compañías de seguros y reaseguros, podrán tomar sobre sí el riesgo de pérdida patrimonial que, las entidades prestadoras de los beneficios contemplados en las leyes Nºs 16.744, 18.469, 18.833 y 18.933, asuman con motivo de las prestaciones que otorguen.</w:t>
      </w:r>
    </w:p>
    <w:p w14:paraId="26C6E830" w14:textId="04B2BCA7" w:rsidR="00EE2C08" w:rsidRPr="00F3357F" w:rsidRDefault="00F3357F" w:rsidP="005C3122">
      <w:pPr>
        <w:jc w:val="both"/>
        <w:rPr>
          <w:color w:val="FF0000"/>
        </w:rPr>
      </w:pPr>
      <w:r w:rsidRPr="00F3357F">
        <w:rPr>
          <w:color w:val="FF0000"/>
        </w:rPr>
        <w:t>EN LA PÁGINA</w:t>
      </w:r>
      <w:r w:rsidR="00D47FC7">
        <w:rPr>
          <w:color w:val="FF0000"/>
        </w:rPr>
        <w:t>S</w:t>
      </w:r>
      <w:r w:rsidRPr="00F3357F">
        <w:rPr>
          <w:color w:val="FF0000"/>
        </w:rPr>
        <w:t xml:space="preserve"> </w:t>
      </w:r>
      <w:r w:rsidR="00D47FC7">
        <w:rPr>
          <w:color w:val="FF0000"/>
        </w:rPr>
        <w:t>1063 a 1064</w:t>
      </w:r>
      <w:r w:rsidRPr="00F3357F">
        <w:rPr>
          <w:color w:val="FF0000"/>
        </w:rPr>
        <w:t>, léase:</w:t>
      </w:r>
    </w:p>
    <w:p w14:paraId="420CCA38" w14:textId="4BF590F5" w:rsidR="00AF7806" w:rsidRDefault="00AF7806" w:rsidP="005C3122">
      <w:pPr>
        <w:jc w:val="both"/>
      </w:pPr>
      <w:r w:rsidRPr="00F3357F">
        <w:rPr>
          <w:color w:val="FF0000"/>
        </w:rPr>
        <w:t xml:space="preserve">Art. 15. </w:t>
      </w:r>
      <w:r>
        <w:t>El límite máximo de endeudamiento total en relación al patrimonio de las compañías del primer grupo no podrá ser superior a 5 veces. Asimismo, para las compañías del segundo grupo, dicho límite será igual a 15 veces.</w:t>
      </w:r>
    </w:p>
    <w:p w14:paraId="7FB6A127" w14:textId="77777777" w:rsidR="00AF7806" w:rsidRDefault="00AF7806" w:rsidP="005C3122">
      <w:pPr>
        <w:jc w:val="both"/>
      </w:pPr>
      <w:r>
        <w:t xml:space="preserve">    Sin embargo, la Superintendencia mediante normas de aplicación general sólo podrá establecer límites de endeudamiento total en relación al patrimonio, superiores a los del inciso anterior para las compañías del segundo grupo, cuando exista razón fundada para ello, condicionado a que cada modificación esté vigente durante al menos un año y que dicho cambio no sea superior a una vez el </w:t>
      </w:r>
      <w:r>
        <w:lastRenderedPageBreak/>
        <w:t>patrimonio. Con todo, la relación máxima de endeudamiento total para las compañías del segundo grupo no podrá exceder de 20 veces el patrimonio.</w:t>
      </w:r>
    </w:p>
    <w:p w14:paraId="1C515B11" w14:textId="77777777" w:rsidR="00AF7806" w:rsidRDefault="00AF7806" w:rsidP="005C3122">
      <w:pPr>
        <w:jc w:val="both"/>
      </w:pPr>
      <w:r>
        <w:t xml:space="preserve">    Para las compañías de uno u otro grupo, el total de las deudas contraídas con terceros, que no generen reservas técnicas de seguros, en ningún caso podrá exceder de una vez el patrimonio.</w:t>
      </w:r>
    </w:p>
    <w:p w14:paraId="1BAB0759" w14:textId="781F656D" w:rsidR="00AF7806" w:rsidRDefault="00AF7806" w:rsidP="005C3122">
      <w:pPr>
        <w:jc w:val="both"/>
      </w:pPr>
      <w:r>
        <w:t xml:space="preserve">    La reserva de valor del fondo, señalada en el Nº 6. del artículo 20, estará sujeta a un límite de endeudamiento total equivalente a siete veces el límite referido en el inciso primero.</w:t>
      </w:r>
    </w:p>
    <w:p w14:paraId="567549FE" w14:textId="77481556" w:rsidR="00AF7806" w:rsidRPr="00F3357F" w:rsidRDefault="00F3357F" w:rsidP="005C3122">
      <w:pPr>
        <w:jc w:val="both"/>
        <w:rPr>
          <w:color w:val="FF0000"/>
        </w:rPr>
      </w:pPr>
      <w:r w:rsidRPr="00F3357F">
        <w:rPr>
          <w:color w:val="FF0000"/>
        </w:rPr>
        <w:t xml:space="preserve">EN LAS PÁGINAS </w:t>
      </w:r>
      <w:r w:rsidR="00111BA5">
        <w:rPr>
          <w:color w:val="FF0000"/>
        </w:rPr>
        <w:t>1069</w:t>
      </w:r>
      <w:r w:rsidRPr="00F3357F">
        <w:rPr>
          <w:color w:val="FF0000"/>
        </w:rPr>
        <w:t xml:space="preserve"> a </w:t>
      </w:r>
      <w:r w:rsidR="004B5674">
        <w:rPr>
          <w:color w:val="FF0000"/>
        </w:rPr>
        <w:t>1074</w:t>
      </w:r>
      <w:r w:rsidRPr="00F3357F">
        <w:rPr>
          <w:color w:val="FF0000"/>
        </w:rPr>
        <w:t xml:space="preserve">, léase: </w:t>
      </w:r>
    </w:p>
    <w:p w14:paraId="5376E608" w14:textId="77777777" w:rsidR="00AF7806" w:rsidRDefault="00AF7806" w:rsidP="005C3122">
      <w:pPr>
        <w:jc w:val="both"/>
      </w:pPr>
      <w:r w:rsidRPr="00F3357F">
        <w:rPr>
          <w:color w:val="FF0000"/>
        </w:rPr>
        <w:t xml:space="preserve">Artículo 21. </w:t>
      </w:r>
      <w:r>
        <w:t>Las reservas técnicas y el patrimonio de riesgo de las entidades aseguradoras y reaseguradoras, sin perjuicio de los depósitos que mantengan en cuenta corriente, deberán estar respaldados por inversiones efectuadas en los siguientes instrumentos y activos:</w:t>
      </w:r>
    </w:p>
    <w:p w14:paraId="136398A6" w14:textId="77777777" w:rsidR="00AF7806" w:rsidRDefault="00AF7806" w:rsidP="005C3122">
      <w:pPr>
        <w:jc w:val="both"/>
      </w:pPr>
      <w:r>
        <w:t xml:space="preserve">    1. Inversiones de Renta Fija:</w:t>
      </w:r>
    </w:p>
    <w:p w14:paraId="6EE3E6AD" w14:textId="77777777" w:rsidR="00AF7806" w:rsidRDefault="00AF7806" w:rsidP="005C3122">
      <w:pPr>
        <w:jc w:val="both"/>
      </w:pPr>
      <w:r>
        <w:t xml:space="preserve">    a) Títulos emitidos o garantizados hasta su total extinción por el Estado o emitidos por el Banco Central de Chile;</w:t>
      </w:r>
    </w:p>
    <w:p w14:paraId="38157AE7" w14:textId="77777777" w:rsidR="00AF7806" w:rsidRDefault="00AF7806" w:rsidP="005C3122">
      <w:pPr>
        <w:jc w:val="both"/>
      </w:pPr>
      <w:r>
        <w:t xml:space="preserve">    b) Depósitos a plazo, letras de crédito hipotecarias, bonos y otros títulos de deuda o crédito, emitidos por bancos e instituciones financieras, incluyendo los bonos sin plazo fijo de vencimiento descritos en el artículo 55 bis del decreto con fuerza de ley N° 3, de 1997, del Ministerio de Hacienda, que fija el texto refundido, sistematizado y concordado de la Ley General de Bancos y de otros cuerpos legales que se indican.</w:t>
      </w:r>
    </w:p>
    <w:p w14:paraId="2B18B3BB" w14:textId="77777777" w:rsidR="00AF7806" w:rsidRDefault="00AF7806" w:rsidP="005C3122">
      <w:pPr>
        <w:jc w:val="both"/>
      </w:pPr>
      <w:r>
        <w:t xml:space="preserve">    Respecto de los instrumentos señalados en esta letra, la Comisión podrá establecer, mediante norma de carácter general, los límites, plazos, requisitos, características, reglas y procedimientos que deberán cumplir para ser representativos de reservas técnicas y patrimonio de riesgo.</w:t>
      </w:r>
    </w:p>
    <w:p w14:paraId="6DB3CF2B" w14:textId="77777777" w:rsidR="00AF7806" w:rsidRDefault="00AF7806" w:rsidP="005C3122">
      <w:pPr>
        <w:jc w:val="both"/>
      </w:pPr>
      <w:r>
        <w:t xml:space="preserve">    c) Bonos, pagarés y otros títulos de deuda o crédito, emitidos por empresas públicas o privadas;</w:t>
      </w:r>
    </w:p>
    <w:p w14:paraId="261F9457" w14:textId="77777777" w:rsidR="00AF7806" w:rsidRDefault="00AF7806" w:rsidP="005C3122">
      <w:pPr>
        <w:jc w:val="both"/>
      </w:pPr>
      <w:r>
        <w:t xml:space="preserve">    d) Participación en convenios de créditos en los que concurran al menos un banco o institución financiera no relacionado con la compañía, conforme a las normas de carácter general que dicte la Superintendencia, debiendo contemplarse en éstas el riesgo de crédito del deudor, y</w:t>
      </w:r>
    </w:p>
    <w:p w14:paraId="248AA0DA" w14:textId="77777777" w:rsidR="00AF7806" w:rsidRDefault="00AF7806" w:rsidP="005C3122">
      <w:pPr>
        <w:jc w:val="both"/>
      </w:pPr>
      <w:r>
        <w:t xml:space="preserve">    e) Mutuos hipotecarios endosables, de los señalados en el Título V de esta ley, y</w:t>
      </w:r>
    </w:p>
    <w:p w14:paraId="75499D77" w14:textId="77777777" w:rsidR="00AF7806" w:rsidRDefault="00AF7806" w:rsidP="005C3122">
      <w:pPr>
        <w:jc w:val="both"/>
      </w:pPr>
      <w:r>
        <w:t xml:space="preserve">    f) Contratos de mutuo o préstamo de dinero otorgados a personas naturales o jurídicas, ya sea por la misma compañía, por otras compañías o por bancos o instituciones financieras, que consten en instrumentos que tengan mérito ejecutivo. Los créditos de que trata esta letra no podrán concederse directa o indirectamente a personas relacionadas de la compañía, según este término se define en el artículo 100 de la ley Nº 18.045.</w:t>
      </w:r>
    </w:p>
    <w:p w14:paraId="242AC901" w14:textId="77777777" w:rsidR="00AF7806" w:rsidRDefault="00AF7806" w:rsidP="005C3122">
      <w:pPr>
        <w:jc w:val="both"/>
      </w:pPr>
      <w:r>
        <w:t xml:space="preserve">    Para los instrumentos señalados en esta letra, la Superintendencia establecerá, mediante una norma de carácter general, la forma en la que las compañías que otorguen los créditos de que trata dicha letra deberán constituir provisiones y la manera de castigar aquellos créditos incobrables y les será aplicable lo establecido en el artículo 31, número 4, de la Ley sobre Impuesto a la Renta, contenida en el decreto ley N° 824, de 1974. De igual forma, la Superintendencia podrá establecer, </w:t>
      </w:r>
      <w:r>
        <w:lastRenderedPageBreak/>
        <w:t>mediante normas de carácter general, límites, plazos y requisitos que las compañías deberán cumplir al otorgar estos créditos.</w:t>
      </w:r>
    </w:p>
    <w:p w14:paraId="186DFF10" w14:textId="77777777" w:rsidR="00AF7806" w:rsidRDefault="00AF7806" w:rsidP="005C3122">
      <w:pPr>
        <w:jc w:val="both"/>
      </w:pPr>
      <w:r>
        <w:t xml:space="preserve">    2. Inversiones de Renta Variable:</w:t>
      </w:r>
    </w:p>
    <w:p w14:paraId="4EDEB82B" w14:textId="77777777" w:rsidR="00AF7806" w:rsidRDefault="00AF7806" w:rsidP="005C3122">
      <w:pPr>
        <w:jc w:val="both"/>
      </w:pPr>
      <w:r>
        <w:t xml:space="preserve">    a) Acciones de sociedades anónimas abiertas y acciones de empresas concesionarias de obras de infraestructura de uso público. No se aceptarán como representativas las acciones de empresas concesionarias de obras de infraestructura de uso público, emitidas por personas relacionadas a la compañía;</w:t>
      </w:r>
    </w:p>
    <w:p w14:paraId="514C1BAB" w14:textId="77777777" w:rsidR="00AF7806" w:rsidRDefault="00AF7806" w:rsidP="005C3122">
      <w:pPr>
        <w:jc w:val="both"/>
      </w:pPr>
      <w:r>
        <w:t xml:space="preserve">    b) Cuotas de fondos mutuos cuyos activos se encuentren invertidos en valores o activos nacionales;</w:t>
      </w:r>
    </w:p>
    <w:p w14:paraId="6FCE44FC" w14:textId="77777777" w:rsidR="00AF7806" w:rsidRDefault="00AF7806" w:rsidP="005C3122">
      <w:pPr>
        <w:jc w:val="both"/>
      </w:pPr>
      <w:r>
        <w:t xml:space="preserve">    c) Cuotas de fondos de inversión, cuyos activos se encuentren invertidos en valores o activos nacionales.</w:t>
      </w:r>
    </w:p>
    <w:p w14:paraId="57397DE4" w14:textId="77777777" w:rsidR="00AF7806" w:rsidRDefault="00AF7806" w:rsidP="005C3122">
      <w:pPr>
        <w:jc w:val="both"/>
      </w:pPr>
      <w:r>
        <w:t xml:space="preserve">    3. Inversiones en el exterior:</w:t>
      </w:r>
    </w:p>
    <w:p w14:paraId="539F87E4" w14:textId="77777777" w:rsidR="00AF7806" w:rsidRDefault="00AF7806" w:rsidP="005C3122">
      <w:pPr>
        <w:jc w:val="both"/>
      </w:pPr>
      <w:r>
        <w:t xml:space="preserve">    a) Títulos de deuda o crédito, emitidos o garantizados hasta su total extinción por Estados o Bancos Centrales extranjeros;</w:t>
      </w:r>
    </w:p>
    <w:p w14:paraId="2A2D1D88" w14:textId="77777777" w:rsidR="00AF7806" w:rsidRDefault="00AF7806" w:rsidP="005C3122">
      <w:pPr>
        <w:jc w:val="both"/>
      </w:pPr>
      <w:r>
        <w:t xml:space="preserve">    b) Depósitos, bonos, pagarés y otros títulos de deuda o crédito, emitidos por instituciones financieras, empresas o corporaciones extranjeras o internacionales;</w:t>
      </w:r>
    </w:p>
    <w:p w14:paraId="1FD2ACDF" w14:textId="77777777" w:rsidR="00AF7806" w:rsidRDefault="00AF7806" w:rsidP="005C3122">
      <w:pPr>
        <w:jc w:val="both"/>
      </w:pPr>
      <w:r>
        <w:t xml:space="preserve">    c) Acciones de sociedades o corporaciones constituidas fuera del país;</w:t>
      </w:r>
    </w:p>
    <w:p w14:paraId="703E9EE8" w14:textId="77777777" w:rsidR="00AF7806" w:rsidRDefault="00AF7806" w:rsidP="005C3122">
      <w:pPr>
        <w:jc w:val="both"/>
      </w:pPr>
      <w:r>
        <w:t xml:space="preserve">    d) Cuotas de fondos mutuos o de inversión constituidos fuera del país;</w:t>
      </w:r>
    </w:p>
    <w:p w14:paraId="2D631774" w14:textId="77777777" w:rsidR="00AF7806" w:rsidRDefault="00AF7806" w:rsidP="005C3122">
      <w:pPr>
        <w:jc w:val="both"/>
      </w:pPr>
      <w:r>
        <w:t xml:space="preserve">    e) Cuotas de fondos mutuos o de inversión constituidos en el país, cuyos activos estén invertidos en valores extranjeros, y</w:t>
      </w:r>
    </w:p>
    <w:p w14:paraId="4D8789A4" w14:textId="77777777" w:rsidR="00AF7806" w:rsidRDefault="00AF7806" w:rsidP="005C3122">
      <w:pPr>
        <w:jc w:val="both"/>
      </w:pPr>
      <w:r>
        <w:t xml:space="preserve">    f) Bienes raíces no habitacionales situados en el exterior.</w:t>
      </w:r>
    </w:p>
    <w:p w14:paraId="63B843E0" w14:textId="77777777" w:rsidR="00AF7806" w:rsidRDefault="00AF7806" w:rsidP="005C3122">
      <w:pPr>
        <w:jc w:val="both"/>
      </w:pPr>
      <w:r>
        <w:t xml:space="preserve">    Los instrumentos señalados en este número podrán ser adquiridos directamente o a través de Certificados de Depósito de Valores (CDV), a que se refiere el Título XXIV de la ley Nº 18.045.</w:t>
      </w:r>
    </w:p>
    <w:p w14:paraId="2F10C669" w14:textId="77777777" w:rsidR="00AF7806" w:rsidRDefault="00AF7806" w:rsidP="005C3122">
      <w:pPr>
        <w:jc w:val="both"/>
      </w:pPr>
      <w:r>
        <w:t xml:space="preserve">    La Superintendencia, previa consulta, al Banco Central de Chile, mediante norma de carácter general que deberá publicarse en el Diario Oficial, establecerá las características, reglas y procedimientos a que deberán sujetarse las inversiones señaladas en este número, para ser representativas de reservas técnicas y patrimonio de riesgo.</w:t>
      </w:r>
    </w:p>
    <w:p w14:paraId="31988269" w14:textId="77777777" w:rsidR="00AF7806" w:rsidRDefault="00AF7806" w:rsidP="005C3122">
      <w:pPr>
        <w:jc w:val="both"/>
      </w:pPr>
      <w:r>
        <w:t xml:space="preserve">    La adquisición de las divisas necesarias para realizar las inversiones, a que se refiere esta letra, y su remesa al exterior, así como el retorno y la liquidación de los capitales y ganancias y su conversión a moneda nacional o extranjera, se sujetarán a las normas que al efecto establezca el Banco Central, de acuerdo a las facultades que le confiere su Ley Orgánica.</w:t>
      </w:r>
    </w:p>
    <w:p w14:paraId="42CFCEEF" w14:textId="77777777" w:rsidR="00AF7806" w:rsidRDefault="00AF7806" w:rsidP="005C3122">
      <w:pPr>
        <w:jc w:val="both"/>
      </w:pPr>
      <w:r>
        <w:t xml:space="preserve">    El mencionado Banco, mediante acuerdo de su Consejo, establecerá los porcentajes máximos posibles de invertir, facultad que será ejercida previo informe de la Superintendencia. No obstante, el porcentaje máximo de inversión en el extranjero que establezca el Banco Central no podrá ser inferior al veinte por ciento de las reservas técnicas y patrimonio de riesgo de las compañías.</w:t>
      </w:r>
    </w:p>
    <w:p w14:paraId="39428A08" w14:textId="77777777" w:rsidR="00AF7806" w:rsidRDefault="00AF7806" w:rsidP="005C3122">
      <w:pPr>
        <w:jc w:val="both"/>
      </w:pPr>
      <w:r>
        <w:lastRenderedPageBreak/>
        <w:t xml:space="preserve">    Las inversiones de la letra f) de este número, sólo se computarán como inversiones representativas de reservas técnicas generadas por operaciones realizadas por la oficina correspondiente en el país respectivo.</w:t>
      </w:r>
    </w:p>
    <w:p w14:paraId="48B61B44" w14:textId="77777777" w:rsidR="00AF7806" w:rsidRDefault="00AF7806" w:rsidP="005C3122">
      <w:pPr>
        <w:jc w:val="both"/>
      </w:pPr>
      <w:r>
        <w:t xml:space="preserve">    4. Bienes raíces, cuya tasación comercial sea practicada al menos cada dos años, según norma de carácter general que dicte la Superintendencia. Tratándose de bienes raíces de propiedad de la compañía, sujetos a contratos de arrendamiento con opción de compra, la Superintendencia establecerá las disposiciones mínimas que deberán cumplir dichos contratos, para que el bien raíz se considere como inversión representativa.</w:t>
      </w:r>
    </w:p>
    <w:p w14:paraId="0D40C8B0" w14:textId="77777777" w:rsidR="00AF7806" w:rsidRDefault="00AF7806" w:rsidP="005C3122">
      <w:pPr>
        <w:jc w:val="both"/>
      </w:pPr>
      <w:r>
        <w:t xml:space="preserve">    No obstante lo anterior, no se aceptarán como representativos bienes raíces habitacionales sujetos a contratos de arrendamiento con o sin opción de compra suscritos con personas relacionadas a la compañía, o cuyo uso o goce haya sido cedido a éstas por cualquier motivo.</w:t>
      </w:r>
    </w:p>
    <w:p w14:paraId="095FB845" w14:textId="77777777" w:rsidR="00AF7806" w:rsidRDefault="00AF7806" w:rsidP="005C3122">
      <w:pPr>
        <w:jc w:val="both"/>
      </w:pPr>
      <w:r>
        <w:t xml:space="preserve">    5. Otros Activos:</w:t>
      </w:r>
    </w:p>
    <w:p w14:paraId="382CE89D" w14:textId="77777777" w:rsidR="00AF7806" w:rsidRDefault="00AF7806" w:rsidP="005C3122">
      <w:pPr>
        <w:jc w:val="both"/>
      </w:pPr>
      <w:r>
        <w:t xml:space="preserve">    a) Crédito no vencido por primas no devengadas otorgado a los asegurados, provenientes de contratos de seguro con cláusula de resolución por no pago de prima, para respaldar el total de la reserva de riesgo en curso y hasta el 10% del patrimonio de riesgo, de las compañías aseguradoras del primer grupo;</w:t>
      </w:r>
    </w:p>
    <w:p w14:paraId="2DE495B2" w14:textId="77777777" w:rsidR="00AF7806" w:rsidRDefault="00AF7806" w:rsidP="005C3122">
      <w:pPr>
        <w:jc w:val="both"/>
      </w:pPr>
      <w:r>
        <w:t xml:space="preserve">    b) Siniestros por cobrar no vencidos, producto de las cesiones efectuadas a los reaseguradores, para respaldar el total de la reserva de siniestros y hasta el 10% del patrimonio de riesgo, salvo aquellos siniestros provenientes de las cesiones indicadas en el artículo 20, que no se puedan descontar de la reserva, conforme lo señalado en dicho artículo;</w:t>
      </w:r>
    </w:p>
    <w:p w14:paraId="354F8C28" w14:textId="77777777" w:rsidR="00AF7806" w:rsidRDefault="00AF7806" w:rsidP="005C3122">
      <w:pPr>
        <w:jc w:val="both"/>
      </w:pPr>
      <w:r>
        <w:t xml:space="preserve">    c) Crédito no vencido por primas producto de los seguros de invalidez y sobrevivencia del decreto ley Nº 3.500, de 1980, para respaldar el total de la reserva de siniestros, para las compañías del segundo grupo;</w:t>
      </w:r>
    </w:p>
    <w:p w14:paraId="47C0A0BD" w14:textId="77777777" w:rsidR="00AF7806" w:rsidRDefault="00AF7806" w:rsidP="005C3122">
      <w:pPr>
        <w:jc w:val="both"/>
      </w:pPr>
      <w:r>
        <w:t xml:space="preserve">    d) Avance a tenedores de sus pólizas de seguros de vida, hasta por el monto del valor de rescate de ellas, siempre que en dichas pólizas se indique expresamente que el empréstito podrá deducirse del monto de la indemnización a pagar en virtud de lo establecido en la póliza o en sus adicionales, si corresponde.</w:t>
      </w:r>
    </w:p>
    <w:p w14:paraId="43E35411" w14:textId="77777777" w:rsidR="00AF7806" w:rsidRDefault="00AF7806" w:rsidP="005C3122">
      <w:pPr>
        <w:jc w:val="both"/>
      </w:pPr>
      <w:r>
        <w:t xml:space="preserve">    Además, las compañías aceptantes podrán respaldar sus reservas técnicas con:</w:t>
      </w:r>
    </w:p>
    <w:p w14:paraId="031CEF1D" w14:textId="77777777" w:rsidR="00AF7806" w:rsidRDefault="00AF7806" w:rsidP="005C3122">
      <w:pPr>
        <w:jc w:val="both"/>
      </w:pPr>
      <w:r>
        <w:t xml:space="preserve">    e) Préstamos otorgados a asegurados de pólizas de seguro de crédito, a que se refiere el artículo 11, que cumplan con los requisitos, condiciones y límites que establezca la Superintendencia mediante norma de carácter general, hasta por el monto del crédito asegurado.</w:t>
      </w:r>
    </w:p>
    <w:p w14:paraId="080DE456" w14:textId="77777777" w:rsidR="00AF7806" w:rsidRDefault="00AF7806" w:rsidP="005C3122">
      <w:pPr>
        <w:jc w:val="both"/>
      </w:pPr>
      <w:r>
        <w:t xml:space="preserve">    f) Crédito no vencido por prima no devengada otorgado a las compañías cedentes del primer grupo en virtud de contratos de reaseguro, para respaldar hasta el total de las reservas de riesgo en curso, y</w:t>
      </w:r>
    </w:p>
    <w:p w14:paraId="17FD5E96" w14:textId="77777777" w:rsidR="00AF7806" w:rsidRDefault="00AF7806" w:rsidP="005C3122">
      <w:pPr>
        <w:jc w:val="both"/>
      </w:pPr>
      <w:r>
        <w:t xml:space="preserve">    g) Crédito no vencido por prima devengada otorgado a las compañías cedentes del primer grupo en virtud de contratos de reaseguro, para respaldar hasta el total de las reservas de siniestros.</w:t>
      </w:r>
    </w:p>
    <w:p w14:paraId="6E225275" w14:textId="77777777" w:rsidR="00AF7806" w:rsidRDefault="00AF7806" w:rsidP="005C3122">
      <w:pPr>
        <w:jc w:val="both"/>
      </w:pPr>
      <w:r>
        <w:t xml:space="preserve">    6. Productos derivados financieros, conforme a los límites y condiciones que establezca la Superintendencia, por norma de carácter general. El límite máximo de inversión que fije la </w:t>
      </w:r>
      <w:r>
        <w:lastRenderedPageBreak/>
        <w:t>Superintendencia no podrá ser inferior a un 0,5% ni superior a un 3% de las reservas técnicas y patrimonio de riesgo de las compañías.</w:t>
      </w:r>
    </w:p>
    <w:p w14:paraId="35C24961" w14:textId="77777777" w:rsidR="00AF7806" w:rsidRDefault="00AF7806" w:rsidP="005C3122">
      <w:pPr>
        <w:jc w:val="both"/>
      </w:pPr>
      <w:r>
        <w:t xml:space="preserve">    7. Otras inversiones que cumplan con los requisitos, condiciones y límites que establezca la Superintendencia mediante norma de carácter general, hasta por un monto máximo de inversión que no podrá exceder del 5% de las reservas técnicas y del patrimonio de riesgo de las compañías.</w:t>
      </w:r>
    </w:p>
    <w:p w14:paraId="7985DBA3" w14:textId="77777777" w:rsidR="00AF7806" w:rsidRDefault="00AF7806" w:rsidP="005C3122">
      <w:pPr>
        <w:jc w:val="both"/>
      </w:pPr>
      <w:r>
        <w:t xml:space="preserve">    Las inversiones señaladas precedentemente, para ser representativas de reservas técnicas y patrimonio de riesgo, deberán cumplir los siguientes requisitos:</w:t>
      </w:r>
    </w:p>
    <w:p w14:paraId="1F47EE68" w14:textId="77777777" w:rsidR="00AF7806" w:rsidRDefault="00AF7806" w:rsidP="005C3122">
      <w:pPr>
        <w:jc w:val="both"/>
      </w:pPr>
      <w:r>
        <w:t xml:space="preserve">    1. Los instrumentos de la letra b) del Nº 1 deberán encontrarse clasificados, de conformidad a lo dispuesto en la ley Nº 18.045, en al menos categoría de riesgo BBB o N-3, según corresponda a instrumentos de largo o corto plazo, respectivamente;</w:t>
      </w:r>
    </w:p>
    <w:p w14:paraId="2591DEBB" w14:textId="77777777" w:rsidR="00AF7806" w:rsidRDefault="00AF7806" w:rsidP="005C3122">
      <w:pPr>
        <w:jc w:val="both"/>
      </w:pPr>
      <w:r>
        <w:t xml:space="preserve">    2. Los instrumentos de las letras a) y c) del Nº2 y las cuotas de fondos de inversión de la letra e) del Nº 3, deberán encontrarse inscritos en el Registro de Valores de esta Superintendencia, de conformidad a las leyes Nºs. 18.045 y 18.815, según corresponda;</w:t>
      </w:r>
    </w:p>
    <w:p w14:paraId="681A6254" w14:textId="77777777" w:rsidR="00AF7806" w:rsidRDefault="00AF7806" w:rsidP="005C3122">
      <w:pPr>
        <w:jc w:val="both"/>
      </w:pPr>
      <w:r>
        <w:t xml:space="preserve">    3. Los instrumentos de la letra a) del Nº 2, no se aceptarán como representativos, cuando se trate de acciones de sociedades administradoras de fondos de pensiones o de fondos mutuos, de instituciones de salud previsional, de entidades aseguradoras y reaseguradoras, de sociedades educacionales y de aquellas cuyo objeto sea la prestación de beneficios de carácter social a sus accionistas, o de sociedades cuyo activo, en más de un 50%, esté constituido por acciones y derechos en entidades de los tipos recién descritos, y</w:t>
      </w:r>
    </w:p>
    <w:p w14:paraId="573B2BC6" w14:textId="77777777" w:rsidR="00AF7806" w:rsidRDefault="00AF7806" w:rsidP="005C3122">
      <w:pPr>
        <w:jc w:val="both"/>
      </w:pPr>
      <w:r>
        <w:t xml:space="preserve">    4. Los instrumentos de las letras a) y b) del Nº3, deberán encontrarse clasificados por al menos dos entidades clasificadoras de reconocido prestigio internacional a juicio de la Superintendencia.</w:t>
      </w:r>
    </w:p>
    <w:p w14:paraId="140B1D0E" w14:textId="77777777" w:rsidR="00AF7806" w:rsidRDefault="00AF7806" w:rsidP="005C3122">
      <w:pPr>
        <w:jc w:val="both"/>
      </w:pPr>
      <w:r>
        <w:t xml:space="preserve">    Las compañías podrán efectuar operaciones para la cobertura del riesgo financiero que pueda afectar a su cartera de inversiones y a su estructura de activos y pasivos, en la forma que establezca una norma de carácter general dictada por la Superintendencia.</w:t>
      </w:r>
    </w:p>
    <w:p w14:paraId="7D72443E" w14:textId="09665890" w:rsidR="00AF7806" w:rsidRDefault="00AF7806" w:rsidP="005C3122">
      <w:pPr>
        <w:jc w:val="both"/>
      </w:pPr>
      <w:r>
        <w:t xml:space="preserve">    Asimismo, podrán participar en operaciones de venta corta, mediante el préstamo de acciones que sean representativas de reservas técnicas y patrimonio de riesgo, conforme a lo señalado en este artículo, en la forma que determine la Superintendencia. No obstante lo anterior, sólo se podrán prestar acciones representativas de reservas técnicas, en estas operaciones, hasta un máximo del 10% del total de la cartera de acciones representativas de la compañía.</w:t>
      </w:r>
    </w:p>
    <w:p w14:paraId="25C99691" w14:textId="77777777" w:rsidR="00AF7806" w:rsidRDefault="00AF7806" w:rsidP="005C3122">
      <w:pPr>
        <w:jc w:val="both"/>
      </w:pPr>
    </w:p>
    <w:p w14:paraId="7C6EC004" w14:textId="49A0ED91" w:rsidR="00AF7806" w:rsidRPr="00F3357F" w:rsidRDefault="00F3357F" w:rsidP="005C3122">
      <w:pPr>
        <w:jc w:val="both"/>
        <w:rPr>
          <w:color w:val="FF0000"/>
        </w:rPr>
      </w:pPr>
      <w:r w:rsidRPr="00F3357F">
        <w:rPr>
          <w:color w:val="FF0000"/>
        </w:rPr>
        <w:t xml:space="preserve">PÁGINAS </w:t>
      </w:r>
      <w:r w:rsidR="006206E1">
        <w:rPr>
          <w:color w:val="FF0000"/>
        </w:rPr>
        <w:t>1074</w:t>
      </w:r>
      <w:r w:rsidR="004701DB">
        <w:rPr>
          <w:color w:val="FF0000"/>
        </w:rPr>
        <w:t xml:space="preserve"> a 1079, </w:t>
      </w:r>
      <w:r w:rsidR="004701DB" w:rsidRPr="00F3357F">
        <w:rPr>
          <w:color w:val="FF0000"/>
        </w:rPr>
        <w:t>léase</w:t>
      </w:r>
      <w:r w:rsidRPr="00F3357F">
        <w:rPr>
          <w:color w:val="FF0000"/>
        </w:rPr>
        <w:t>:</w:t>
      </w:r>
    </w:p>
    <w:p w14:paraId="24912A5B" w14:textId="77777777" w:rsidR="00AF7806" w:rsidRDefault="00AF7806" w:rsidP="005C3122">
      <w:pPr>
        <w:jc w:val="both"/>
      </w:pPr>
      <w:r w:rsidRPr="00F3357F">
        <w:rPr>
          <w:color w:val="FF0000"/>
        </w:rPr>
        <w:t xml:space="preserve">Artículo 23. </w:t>
      </w:r>
      <w:r>
        <w:t>La inversión en los distintos tipos de instrumentos o activos representativos de reservas técnicas y patrimonio de riesgo, señalados en el artículo 21, estará sujeta a los siguientes límites máximos:</w:t>
      </w:r>
    </w:p>
    <w:p w14:paraId="70129ED3" w14:textId="77777777" w:rsidR="00AF7806" w:rsidRDefault="00AF7806" w:rsidP="005C3122">
      <w:pPr>
        <w:jc w:val="both"/>
      </w:pPr>
    </w:p>
    <w:p w14:paraId="15640695" w14:textId="77777777" w:rsidR="00AF7806" w:rsidRDefault="00AF7806" w:rsidP="005C3122">
      <w:pPr>
        <w:jc w:val="both"/>
      </w:pPr>
      <w:r>
        <w:t xml:space="preserve">    1. Límites por Instrumento.</w:t>
      </w:r>
    </w:p>
    <w:p w14:paraId="395D3468" w14:textId="77777777" w:rsidR="00AF7806" w:rsidRDefault="00AF7806" w:rsidP="005C3122">
      <w:pPr>
        <w:jc w:val="both"/>
      </w:pPr>
    </w:p>
    <w:p w14:paraId="47B04F0D" w14:textId="77777777" w:rsidR="00AF7806" w:rsidRDefault="00AF7806" w:rsidP="005C3122">
      <w:pPr>
        <w:jc w:val="both"/>
      </w:pPr>
      <w:r>
        <w:lastRenderedPageBreak/>
        <w:t xml:space="preserve">    a) Entre un 5% y un 10% del total para los bonos sin plazo fijo de vencimiento contemplados en la letra b) del artículo 21;</w:t>
      </w:r>
    </w:p>
    <w:p w14:paraId="51D57452" w14:textId="77777777" w:rsidR="00AF7806" w:rsidRDefault="00AF7806" w:rsidP="005C3122">
      <w:pPr>
        <w:jc w:val="both"/>
      </w:pPr>
      <w:r>
        <w:t xml:space="preserve">    b) 5% del total, para la suma de la inversión en los instrumentos de la letra c) del Nº 1, que no se encuentren inscritos en el Registro de Valores de la Superintendencia, o que estando inscritos, no cuenten con clasificación de riesgo conforme a la ley Nº 18.045, o ésta sea inferior a BBB o N-3, según corresponda. Se exceptuarán de este límite, aquellos instrumentos emitidos por empresas nacionales, fuera del país, que cuenten con clasificación de riesgo internacional igual o superior a BBB;</w:t>
      </w:r>
    </w:p>
    <w:p w14:paraId="04DC5C63" w14:textId="77777777" w:rsidR="00AF7806" w:rsidRDefault="00AF7806" w:rsidP="005C3122">
      <w:pPr>
        <w:jc w:val="both"/>
      </w:pPr>
      <w:r>
        <w:t xml:space="preserve">    c) entre un 3% y un 5% del total, según lo establezca la Superintendencia por norma de carácter general, para la suma de la inversión en los instrumentos de la letra d) del Nº 1;</w:t>
      </w:r>
    </w:p>
    <w:p w14:paraId="14D0F957" w14:textId="77777777" w:rsidR="00AF7806" w:rsidRDefault="00AF7806" w:rsidP="005C3122">
      <w:pPr>
        <w:jc w:val="both"/>
      </w:pPr>
      <w:r>
        <w:t xml:space="preserve">    d) 30% del total, en aquellos instrumentos de la letra e) del Nº 1, para compañías del segundo grupo, y 30% sólo el patrimonio de riesgo, para compañías del primer grupo;</w:t>
      </w:r>
    </w:p>
    <w:p w14:paraId="2FFA3B00" w14:textId="77777777" w:rsidR="00AF7806" w:rsidRDefault="00AF7806" w:rsidP="005C3122">
      <w:pPr>
        <w:jc w:val="both"/>
      </w:pPr>
      <w:r>
        <w:t xml:space="preserve">    e) entre un 1% y un 5% del total, según lo establezca la Superintendencia por norma de carácter general, para la suma de la inversión en instrumentos de la letra f) del Nº 1. En todo caso, no se podrá otorgar un crédito a una misma persona, directa o indirectamente, por una suma que exceda el 5% del límite antedicho. Con todo, este límite de concentración no podrá exceder del equivalente a 10.000 unidades de fomento. Sin perjuicio de las sanciones que correspondan, los créditos en exceso de los límites fijados en este párrafo, no serán representativos de reservas técnicas y patrimonio de riesgo;</w:t>
      </w:r>
    </w:p>
    <w:p w14:paraId="2DB631EA" w14:textId="77777777" w:rsidR="00AF7806" w:rsidRDefault="00AF7806" w:rsidP="005C3122">
      <w:pPr>
        <w:jc w:val="both"/>
      </w:pPr>
      <w:r>
        <w:t xml:space="preserve">    f) 40% del total para la suma de la inversión en instrumentos del Nº2. La inversión total en acciones de empresas concesionarias de obras de infraestructura de uso público no podrá exceder del 5% del total;</w:t>
      </w:r>
    </w:p>
    <w:p w14:paraId="41A5995A" w14:textId="77777777" w:rsidR="00AF7806" w:rsidRDefault="00AF7806" w:rsidP="005C3122">
      <w:pPr>
        <w:jc w:val="both"/>
      </w:pPr>
      <w:r>
        <w:t xml:space="preserve">    g) 5% del total, en aquellos instrumentos de la letra a) del Nº2, que no cumplan el requisito de presencia bursátil que establezca, por norma de carácter general, la Superintendencia. Este límite no se aplicará a la inversión en acciones de empresas concesionarias de obras de infraestructura de uso público;</w:t>
      </w:r>
    </w:p>
    <w:p w14:paraId="08F8E625" w14:textId="77777777" w:rsidR="00AF7806" w:rsidRDefault="00AF7806" w:rsidP="005C3122">
      <w:pPr>
        <w:jc w:val="both"/>
      </w:pPr>
      <w:r>
        <w:t xml:space="preserve">    h) 10% del total, en aquellos fondos de inversión de la letra c) del Nº2;</w:t>
      </w:r>
    </w:p>
    <w:p w14:paraId="4FA1C1C1" w14:textId="77777777" w:rsidR="00AF7806" w:rsidRDefault="00AF7806" w:rsidP="005C3122">
      <w:pPr>
        <w:jc w:val="both"/>
      </w:pPr>
      <w:r>
        <w:t xml:space="preserve">    i) Derogado.</w:t>
      </w:r>
    </w:p>
    <w:p w14:paraId="0B92D851" w14:textId="77777777" w:rsidR="00AF7806" w:rsidRDefault="00AF7806" w:rsidP="005C3122">
      <w:pPr>
        <w:jc w:val="both"/>
      </w:pPr>
      <w:r>
        <w:t xml:space="preserve">    j) 5% del total, para la suma de la inversión en los instrumentos de las letras a) y b) del Nº3, que presenten clasificación de riesgo internacional, inferior a BBB o N-3, o su equivalente según corresponda a instrumentos de largo y corto plazo, respectivamente;</w:t>
      </w:r>
    </w:p>
    <w:p w14:paraId="1B814EAE" w14:textId="77777777" w:rsidR="00AF7806" w:rsidRDefault="00AF7806" w:rsidP="005C3122">
      <w:pPr>
        <w:jc w:val="both"/>
      </w:pPr>
      <w:r>
        <w:t xml:space="preserve">    k) Para la suma de la inversión en instrumentos de las letras c), d) y e) del Nº 3, la Superintendencia, mediante norma de carácter general, establecerá los porcentajes máximos posibles de invertir. No obstante, el porcentaje máximo de inversión para los instrumentos antes mencionados no podrá ser inferior al diez por ciento de las reservas técnicas y patrimonio de riesgo de las compañías;</w:t>
      </w:r>
    </w:p>
    <w:p w14:paraId="4AB425FA" w14:textId="77777777" w:rsidR="00AF7806" w:rsidRDefault="00AF7806" w:rsidP="005C3122">
      <w:pPr>
        <w:jc w:val="both"/>
      </w:pPr>
      <w:r>
        <w:t xml:space="preserve">    l) 3% del total en aquellos activos de la letra f) del Nº3;</w:t>
      </w:r>
    </w:p>
    <w:p w14:paraId="7C21CD92" w14:textId="77777777" w:rsidR="00AF7806" w:rsidRDefault="00AF7806" w:rsidP="005C3122">
      <w:pPr>
        <w:jc w:val="both"/>
      </w:pPr>
      <w:r>
        <w:t xml:space="preserve">    m) 25% del total, en aquellos activos del N° 4, para compañías del segundo grupo, y 30% sólo del patrimonio de riesgo, para compañías del primer grupo. Con todo, en el caso de bienes raíces no </w:t>
      </w:r>
      <w:r>
        <w:lastRenderedPageBreak/>
        <w:t>habitacionales sujetos a contratos de arrendamiento con o sin opción de compra que suscriban las compañías del segundo grupo con personas relacionadas, el límite corresponderá al 5% del total y al 5% sólo del patrimonio de riesgo para compañías del primer grupo. Adicionalmente, tratándose de bienes raíces habitacionales, se aplicará un límite del 5% del total para compañías del segundo grupo y del 5% sólo del patrimonio de riesgo para compañías del primer grupo, y</w:t>
      </w:r>
    </w:p>
    <w:p w14:paraId="37D84D81" w14:textId="77777777" w:rsidR="00AF7806" w:rsidRDefault="00AF7806" w:rsidP="005C3122">
      <w:pPr>
        <w:jc w:val="both"/>
      </w:pPr>
      <w:r>
        <w:t xml:space="preserve">    n) 20% del total, en aquellos activos de la letra e) del Nº 5.</w:t>
      </w:r>
    </w:p>
    <w:p w14:paraId="00222443" w14:textId="77777777" w:rsidR="00AF7806" w:rsidRDefault="00AF7806" w:rsidP="005C3122">
      <w:pPr>
        <w:jc w:val="both"/>
      </w:pPr>
      <w:r>
        <w:t xml:space="preserve">   </w:t>
      </w:r>
    </w:p>
    <w:p w14:paraId="38D5BC03" w14:textId="77777777" w:rsidR="00AF7806" w:rsidRDefault="00AF7806" w:rsidP="005C3122">
      <w:pPr>
        <w:jc w:val="both"/>
      </w:pPr>
      <w:r>
        <w:t xml:space="preserve">    2. Límites conjuntos.</w:t>
      </w:r>
    </w:p>
    <w:p w14:paraId="7A9A963B" w14:textId="77777777" w:rsidR="00AF7806" w:rsidRDefault="00AF7806" w:rsidP="005C3122">
      <w:pPr>
        <w:jc w:val="both"/>
      </w:pPr>
    </w:p>
    <w:p w14:paraId="1782472D" w14:textId="77777777" w:rsidR="00AF7806" w:rsidRDefault="00AF7806" w:rsidP="005C3122">
      <w:pPr>
        <w:jc w:val="both"/>
      </w:pPr>
      <w:r>
        <w:t xml:space="preserve">    a) 25% del total, para la suma de la inversión en aquellos instrumentos comprendidos en las letras b) y c) del Nº1, que presenten clasificación de riesgo igual o inferior a BBB o N-3, según corresponda a instrumentos de largo y corto plazo, o que, en el caso de instrumentos de la letra c) del Nº 1, no presenten clasificación de riesgo;</w:t>
      </w:r>
    </w:p>
    <w:p w14:paraId="7BF158FE" w14:textId="77777777" w:rsidR="00AF7806" w:rsidRDefault="00AF7806" w:rsidP="005C3122">
      <w:pPr>
        <w:jc w:val="both"/>
      </w:pPr>
      <w:r>
        <w:t xml:space="preserve">    b) entre un 10% y un 20% del total, según lo establezca la Superintendencia por norma de carácter general, para la suma de la inversión en los instrumentos comprendidos en las letras b), c) y d) del Nº 1, y a) del Nº2, emitidos por sociedades anónimas, bancos, instituciones financieras y empresas pertenecientes a un mismo grupo empresarial. Este límite se rebajará a la mitad, si la compañía inversionista forma parte del grupo empresarial;</w:t>
      </w:r>
    </w:p>
    <w:p w14:paraId="74F00BB2" w14:textId="77777777" w:rsidR="00AF7806" w:rsidRDefault="00AF7806" w:rsidP="005C3122">
      <w:pPr>
        <w:jc w:val="both"/>
      </w:pPr>
      <w:r>
        <w:t xml:space="preserve">    c) 10% del total, para la suma de la inversión en los instrumentos comprendidos en las letras b), c) y d) del Nº1 y a) del Nº2, emitidos o garantizados por una misma entidad, o sus respectivas filiales. Este límite se rebajará a la mitad, si la compañía inversionista forma parte del grupo empresarial al que pertenece el emisor;</w:t>
      </w:r>
    </w:p>
    <w:p w14:paraId="37FD9C95" w14:textId="77777777" w:rsidR="00AF7806" w:rsidRDefault="00AF7806" w:rsidP="005C3122">
      <w:pPr>
        <w:jc w:val="both"/>
      </w:pPr>
      <w:r>
        <w:t xml:space="preserve">    d) 40% del total, para la suma de la inversión en instrumentos de las letras e) del Nº 1, fondos de inversión de la letra c) del Nº 2, en cuanto inviertan en activos señalados en los números 10, 11, 12, 13 y 15 del artículo 5º de la ley Nº18.815, bienes raíces del Nº4, activos relacionados con el sector inmobiliario incluidos en el N° 7 y bonos o pagarés de la letra c) del Nºl, emitidos por sociedades securitizadoras de las señaladas en el Título XVIII de la ley Nº 18.045, que estén respaldados por títulos de crédito transferibles, relacionados con el sector inmobiliario, para compañías del segundo grupo, y 50% sólo del patrimonio de riesgo, para compañías del primer grupo;</w:t>
      </w:r>
    </w:p>
    <w:p w14:paraId="176CCFC8" w14:textId="77777777" w:rsidR="00AF7806" w:rsidRDefault="00AF7806" w:rsidP="005C3122">
      <w:pPr>
        <w:jc w:val="both"/>
      </w:pPr>
      <w:r>
        <w:t xml:space="preserve">    e) 5% del total, para la suma de la inversión en los instrumentos comprendidos, en las letras b) y c) del Nº3, emitidos o garantizados por una misma entidad. Este límite se rebajará a la mitad, cuando el emisor sea persona relacionada a la compañía;</w:t>
      </w:r>
    </w:p>
    <w:p w14:paraId="446BE25B" w14:textId="77777777" w:rsidR="00AF7806" w:rsidRDefault="00AF7806" w:rsidP="005C3122">
      <w:pPr>
        <w:jc w:val="both"/>
      </w:pPr>
      <w:r>
        <w:t xml:space="preserve">    f) 10% del total, para la suma de la inversión en fondos señalados en las letras b) y c) del Nº2 y e) del Nº3, administrados por una misma entidad administradora de fondos mutuos o de inversión;</w:t>
      </w:r>
    </w:p>
    <w:p w14:paraId="79D78776" w14:textId="77777777" w:rsidR="00AF7806" w:rsidRDefault="00AF7806" w:rsidP="005C3122">
      <w:pPr>
        <w:jc w:val="both"/>
      </w:pPr>
      <w:r>
        <w:t xml:space="preserve">    g) 1% del total, para la suma de la inversión en instrumentos de las letras c) del N° 1 y a) y b) del N° 3, comprendidos en las letras b) e j) del N° 1 de este artículo, según corresponda, emitidos por una misma entidad o sus respectivas filiales;</w:t>
      </w:r>
    </w:p>
    <w:p w14:paraId="5C74A1DE" w14:textId="77777777" w:rsidR="00AF7806" w:rsidRDefault="00AF7806" w:rsidP="005C3122">
      <w:pPr>
        <w:jc w:val="both"/>
      </w:pPr>
      <w:r>
        <w:t xml:space="preserve">    h) 10% del total, para la suma de la inversión en los siguientes instrumentos:</w:t>
      </w:r>
    </w:p>
    <w:p w14:paraId="01729FFD" w14:textId="77777777" w:rsidR="00AF7806" w:rsidRDefault="00AF7806" w:rsidP="005C3122">
      <w:pPr>
        <w:jc w:val="both"/>
      </w:pPr>
      <w:r>
        <w:lastRenderedPageBreak/>
        <w:t xml:space="preserve">    i) Instrumentos de la letra f) del Nº 1;</w:t>
      </w:r>
    </w:p>
    <w:p w14:paraId="25705453" w14:textId="77777777" w:rsidR="00AF7806" w:rsidRDefault="00AF7806" w:rsidP="005C3122">
      <w:pPr>
        <w:jc w:val="both"/>
      </w:pPr>
      <w:r>
        <w:t xml:space="preserve">    ii) Instrumentos de la letra a) del Nº 2, que no cumplan con el requisito de presencia bursátil que establezca la Superintendencia mediante norma de carácter general. Este límite no se aplicará a la inversión en acciones de empresas concesionarias de obras de infraestructura de uso público;</w:t>
      </w:r>
    </w:p>
    <w:p w14:paraId="615FBC75" w14:textId="77777777" w:rsidR="00AF7806" w:rsidRDefault="00AF7806" w:rsidP="005C3122">
      <w:pPr>
        <w:jc w:val="both"/>
      </w:pPr>
      <w:r>
        <w:t xml:space="preserve">    iii) Instrumentos de los números 6 y 7;</w:t>
      </w:r>
    </w:p>
    <w:p w14:paraId="30CDC4B6" w14:textId="77777777" w:rsidR="00AF7806" w:rsidRDefault="00AF7806" w:rsidP="005C3122">
      <w:pPr>
        <w:jc w:val="both"/>
      </w:pPr>
      <w:r>
        <w:t xml:space="preserve">    iv) Instrumentos de la letra c) del N° 1 y a) y b) del N° 3, comprendidos en las letras b) e j) del N° 1 de este artículo, y</w:t>
      </w:r>
    </w:p>
    <w:p w14:paraId="2B6469A3" w14:textId="610040FF" w:rsidR="00AF7806" w:rsidRDefault="00AF7806" w:rsidP="005C3122">
      <w:pPr>
        <w:jc w:val="both"/>
      </w:pPr>
      <w:r>
        <w:t xml:space="preserve">    i) 2% del total, para la suma de la inversión en acciones de empresas concesionarias de obras de infraestructura de uso público, emitidas por una misma entidad o sus respectivas filiales.</w:t>
      </w:r>
    </w:p>
    <w:p w14:paraId="19E0C042" w14:textId="4D825FF1" w:rsidR="00AF7806" w:rsidRDefault="00AF7806" w:rsidP="005C3122">
      <w:pPr>
        <w:jc w:val="both"/>
      </w:pPr>
    </w:p>
    <w:p w14:paraId="3BE42D73" w14:textId="10C6348C" w:rsidR="00AF7806" w:rsidRDefault="00AF7806" w:rsidP="005C3122">
      <w:pPr>
        <w:jc w:val="both"/>
      </w:pPr>
      <w:r w:rsidRPr="00AF7806">
        <w:t>Artículo 24 bis.- Si una inversión representativa de reservas técnicas o de patrimonio de riesgo o un conjunto de ellas sobrepasaren alguno de los límites de diversificación establecidos en esta ley, el exceso no será aceptado como respaldo de dichas reservas ni del patrimonio de riesgo. Tampoco serán aceptadas aquellas inversiones que dejaren de cumplir los requisitos señalados en esta ley para ser representativas de reservas técnicas. Sin embargo, si tal hecho se produjere exclusivamente por un cambio de clasificación de riesgo, las inversiones afectadas podrán seguir respaldando reservas técnicas y patrimonio de riesgo por un plazo no superior a seis meses a contar de la fecha del cambio. Sin embargo, el 50% de ellas podrá seguir sirviendo de respaldo por un período adicional de seis meses.</w:t>
      </w:r>
      <w:r w:rsidR="00515121">
        <w:t xml:space="preserve"> E</w:t>
      </w:r>
      <w:r w:rsidRPr="00AF7806">
        <w:t>n caso de adquirir nuevos instrumentos de éstos durante dicho período, la compañía no podrá usarlos para respaldar sus reservas técnicas y patrimonio de riesgo.</w:t>
      </w:r>
    </w:p>
    <w:sectPr w:rsidR="00AF78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C533B"/>
    <w:multiLevelType w:val="multilevel"/>
    <w:tmpl w:val="7868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05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06"/>
    <w:rsid w:val="00045BC4"/>
    <w:rsid w:val="00111BA5"/>
    <w:rsid w:val="0014262B"/>
    <w:rsid w:val="001855BC"/>
    <w:rsid w:val="002D1BBF"/>
    <w:rsid w:val="004701DB"/>
    <w:rsid w:val="004B5674"/>
    <w:rsid w:val="00515121"/>
    <w:rsid w:val="005208C9"/>
    <w:rsid w:val="00550160"/>
    <w:rsid w:val="005A53DD"/>
    <w:rsid w:val="005C3122"/>
    <w:rsid w:val="006123D9"/>
    <w:rsid w:val="006206E1"/>
    <w:rsid w:val="00684E67"/>
    <w:rsid w:val="006E4497"/>
    <w:rsid w:val="00775DA1"/>
    <w:rsid w:val="00810A15"/>
    <w:rsid w:val="00971313"/>
    <w:rsid w:val="00AF7806"/>
    <w:rsid w:val="00B21740"/>
    <w:rsid w:val="00C00F42"/>
    <w:rsid w:val="00D47FC7"/>
    <w:rsid w:val="00EE2C08"/>
    <w:rsid w:val="00F335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103E"/>
  <w15:chartTrackingRefBased/>
  <w15:docId w15:val="{7CC109D1-207F-4119-A8C0-8EFC4ECB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06"/>
  </w:style>
  <w:style w:type="paragraph" w:styleId="Ttulo1">
    <w:name w:val="heading 1"/>
    <w:basedOn w:val="Normal"/>
    <w:next w:val="Normal"/>
    <w:link w:val="Ttulo1Car"/>
    <w:uiPriority w:val="9"/>
    <w:qFormat/>
    <w:rsid w:val="00B217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217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2174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2174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2174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217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217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217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217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174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2174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2174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2174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2174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217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217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217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21740"/>
    <w:rPr>
      <w:rFonts w:eastAsiaTheme="majorEastAsia" w:cstheme="majorBidi"/>
      <w:color w:val="272727" w:themeColor="text1" w:themeTint="D8"/>
    </w:rPr>
  </w:style>
  <w:style w:type="paragraph" w:styleId="Ttulo">
    <w:name w:val="Title"/>
    <w:basedOn w:val="Normal"/>
    <w:next w:val="Normal"/>
    <w:link w:val="TtuloCar"/>
    <w:uiPriority w:val="10"/>
    <w:qFormat/>
    <w:rsid w:val="00B21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217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217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1740"/>
    <w:rPr>
      <w:rFonts w:eastAsiaTheme="majorEastAsia" w:cstheme="majorBidi"/>
      <w:color w:val="595959" w:themeColor="text1" w:themeTint="A6"/>
      <w:spacing w:val="15"/>
      <w:sz w:val="28"/>
      <w:szCs w:val="28"/>
    </w:rPr>
  </w:style>
  <w:style w:type="paragraph" w:styleId="Prrafodelista">
    <w:name w:val="List Paragraph"/>
    <w:basedOn w:val="Normal"/>
    <w:uiPriority w:val="34"/>
    <w:qFormat/>
    <w:rsid w:val="00B21740"/>
    <w:pPr>
      <w:ind w:left="720"/>
      <w:contextualSpacing/>
    </w:pPr>
  </w:style>
  <w:style w:type="paragraph" w:styleId="Cita">
    <w:name w:val="Quote"/>
    <w:basedOn w:val="Normal"/>
    <w:next w:val="Normal"/>
    <w:link w:val="CitaCar"/>
    <w:uiPriority w:val="29"/>
    <w:qFormat/>
    <w:rsid w:val="00B21740"/>
    <w:pPr>
      <w:spacing w:before="160"/>
      <w:jc w:val="center"/>
    </w:pPr>
    <w:rPr>
      <w:i/>
      <w:iCs/>
      <w:color w:val="404040" w:themeColor="text1" w:themeTint="BF"/>
    </w:rPr>
  </w:style>
  <w:style w:type="character" w:customStyle="1" w:styleId="CitaCar">
    <w:name w:val="Cita Car"/>
    <w:basedOn w:val="Fuentedeprrafopredeter"/>
    <w:link w:val="Cita"/>
    <w:uiPriority w:val="29"/>
    <w:rsid w:val="00B21740"/>
    <w:rPr>
      <w:i/>
      <w:iCs/>
      <w:color w:val="404040" w:themeColor="text1" w:themeTint="BF"/>
    </w:rPr>
  </w:style>
  <w:style w:type="paragraph" w:styleId="Citadestacada">
    <w:name w:val="Intense Quote"/>
    <w:basedOn w:val="Normal"/>
    <w:next w:val="Normal"/>
    <w:link w:val="CitadestacadaCar"/>
    <w:uiPriority w:val="30"/>
    <w:qFormat/>
    <w:rsid w:val="00B2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21740"/>
    <w:rPr>
      <w:i/>
      <w:iCs/>
      <w:color w:val="2F5496" w:themeColor="accent1" w:themeShade="BF"/>
    </w:rPr>
  </w:style>
  <w:style w:type="character" w:styleId="nfasisintenso">
    <w:name w:val="Intense Emphasis"/>
    <w:basedOn w:val="Fuentedeprrafopredeter"/>
    <w:uiPriority w:val="21"/>
    <w:qFormat/>
    <w:rsid w:val="00B21740"/>
    <w:rPr>
      <w:i/>
      <w:iCs/>
      <w:color w:val="2F5496" w:themeColor="accent1" w:themeShade="BF"/>
    </w:rPr>
  </w:style>
  <w:style w:type="character" w:styleId="Referenciaintensa">
    <w:name w:val="Intense Reference"/>
    <w:basedOn w:val="Fuentedeprrafopredeter"/>
    <w:uiPriority w:val="32"/>
    <w:qFormat/>
    <w:rsid w:val="00B21740"/>
    <w:rPr>
      <w:b/>
      <w:bCs/>
      <w:smallCaps/>
      <w:color w:val="2F5496" w:themeColor="accent1" w:themeShade="BF"/>
      <w:spacing w:val="5"/>
    </w:rPr>
  </w:style>
  <w:style w:type="character" w:styleId="Hipervnculo">
    <w:name w:val="Hyperlink"/>
    <w:basedOn w:val="Fuentedeprrafopredeter"/>
    <w:uiPriority w:val="99"/>
    <w:unhideWhenUsed/>
    <w:rsid w:val="00AF7806"/>
    <w:rPr>
      <w:color w:val="0563C1" w:themeColor="hyperlink"/>
      <w:u w:val="single"/>
    </w:rPr>
  </w:style>
  <w:style w:type="character" w:styleId="Mencinsinresolver">
    <w:name w:val="Unresolved Mention"/>
    <w:basedOn w:val="Fuentedeprrafopredeter"/>
    <w:uiPriority w:val="99"/>
    <w:semiHidden/>
    <w:unhideWhenUsed/>
    <w:rsid w:val="00AF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6975">
      <w:bodyDiv w:val="1"/>
      <w:marLeft w:val="0"/>
      <w:marRight w:val="0"/>
      <w:marTop w:val="0"/>
      <w:marBottom w:val="0"/>
      <w:divBdr>
        <w:top w:val="none" w:sz="0" w:space="0" w:color="auto"/>
        <w:left w:val="none" w:sz="0" w:space="0" w:color="auto"/>
        <w:bottom w:val="none" w:sz="0" w:space="0" w:color="auto"/>
        <w:right w:val="none" w:sz="0" w:space="0" w:color="auto"/>
      </w:divBdr>
    </w:div>
    <w:div w:id="195968651">
      <w:bodyDiv w:val="1"/>
      <w:marLeft w:val="0"/>
      <w:marRight w:val="0"/>
      <w:marTop w:val="0"/>
      <w:marBottom w:val="0"/>
      <w:divBdr>
        <w:top w:val="none" w:sz="0" w:space="0" w:color="auto"/>
        <w:left w:val="none" w:sz="0" w:space="0" w:color="auto"/>
        <w:bottom w:val="none" w:sz="0" w:space="0" w:color="auto"/>
        <w:right w:val="none" w:sz="0" w:space="0" w:color="auto"/>
      </w:divBdr>
    </w:div>
    <w:div w:id="199124669">
      <w:bodyDiv w:val="1"/>
      <w:marLeft w:val="0"/>
      <w:marRight w:val="0"/>
      <w:marTop w:val="0"/>
      <w:marBottom w:val="0"/>
      <w:divBdr>
        <w:top w:val="none" w:sz="0" w:space="0" w:color="auto"/>
        <w:left w:val="none" w:sz="0" w:space="0" w:color="auto"/>
        <w:bottom w:val="none" w:sz="0" w:space="0" w:color="auto"/>
        <w:right w:val="none" w:sz="0" w:space="0" w:color="auto"/>
      </w:divBdr>
    </w:div>
    <w:div w:id="283970997">
      <w:bodyDiv w:val="1"/>
      <w:marLeft w:val="0"/>
      <w:marRight w:val="0"/>
      <w:marTop w:val="0"/>
      <w:marBottom w:val="0"/>
      <w:divBdr>
        <w:top w:val="none" w:sz="0" w:space="0" w:color="auto"/>
        <w:left w:val="none" w:sz="0" w:space="0" w:color="auto"/>
        <w:bottom w:val="none" w:sz="0" w:space="0" w:color="auto"/>
        <w:right w:val="none" w:sz="0" w:space="0" w:color="auto"/>
      </w:divBdr>
      <w:divsChild>
        <w:div w:id="1686400572">
          <w:marLeft w:val="0"/>
          <w:marRight w:val="-3000"/>
          <w:marTop w:val="15"/>
          <w:marBottom w:val="0"/>
          <w:divBdr>
            <w:top w:val="single" w:sz="6" w:space="2" w:color="CCCCCC"/>
            <w:left w:val="single" w:sz="6" w:space="8" w:color="CCCCCC"/>
            <w:bottom w:val="single" w:sz="6" w:space="2" w:color="CCCCCC"/>
            <w:right w:val="single" w:sz="6" w:space="8" w:color="CCCCCC"/>
          </w:divBdr>
        </w:div>
      </w:divsChild>
    </w:div>
    <w:div w:id="302269852">
      <w:bodyDiv w:val="1"/>
      <w:marLeft w:val="0"/>
      <w:marRight w:val="0"/>
      <w:marTop w:val="0"/>
      <w:marBottom w:val="0"/>
      <w:divBdr>
        <w:top w:val="none" w:sz="0" w:space="0" w:color="auto"/>
        <w:left w:val="none" w:sz="0" w:space="0" w:color="auto"/>
        <w:bottom w:val="none" w:sz="0" w:space="0" w:color="auto"/>
        <w:right w:val="none" w:sz="0" w:space="0" w:color="auto"/>
      </w:divBdr>
    </w:div>
    <w:div w:id="317922450">
      <w:bodyDiv w:val="1"/>
      <w:marLeft w:val="0"/>
      <w:marRight w:val="0"/>
      <w:marTop w:val="0"/>
      <w:marBottom w:val="0"/>
      <w:divBdr>
        <w:top w:val="none" w:sz="0" w:space="0" w:color="auto"/>
        <w:left w:val="none" w:sz="0" w:space="0" w:color="auto"/>
        <w:bottom w:val="none" w:sz="0" w:space="0" w:color="auto"/>
        <w:right w:val="none" w:sz="0" w:space="0" w:color="auto"/>
      </w:divBdr>
    </w:div>
    <w:div w:id="364335590">
      <w:bodyDiv w:val="1"/>
      <w:marLeft w:val="0"/>
      <w:marRight w:val="0"/>
      <w:marTop w:val="0"/>
      <w:marBottom w:val="0"/>
      <w:divBdr>
        <w:top w:val="none" w:sz="0" w:space="0" w:color="auto"/>
        <w:left w:val="none" w:sz="0" w:space="0" w:color="auto"/>
        <w:bottom w:val="none" w:sz="0" w:space="0" w:color="auto"/>
        <w:right w:val="none" w:sz="0" w:space="0" w:color="auto"/>
      </w:divBdr>
    </w:div>
    <w:div w:id="436798105">
      <w:bodyDiv w:val="1"/>
      <w:marLeft w:val="0"/>
      <w:marRight w:val="0"/>
      <w:marTop w:val="0"/>
      <w:marBottom w:val="0"/>
      <w:divBdr>
        <w:top w:val="none" w:sz="0" w:space="0" w:color="auto"/>
        <w:left w:val="none" w:sz="0" w:space="0" w:color="auto"/>
        <w:bottom w:val="none" w:sz="0" w:space="0" w:color="auto"/>
        <w:right w:val="none" w:sz="0" w:space="0" w:color="auto"/>
      </w:divBdr>
    </w:div>
    <w:div w:id="526407628">
      <w:bodyDiv w:val="1"/>
      <w:marLeft w:val="0"/>
      <w:marRight w:val="0"/>
      <w:marTop w:val="0"/>
      <w:marBottom w:val="0"/>
      <w:divBdr>
        <w:top w:val="none" w:sz="0" w:space="0" w:color="auto"/>
        <w:left w:val="none" w:sz="0" w:space="0" w:color="auto"/>
        <w:bottom w:val="none" w:sz="0" w:space="0" w:color="auto"/>
        <w:right w:val="none" w:sz="0" w:space="0" w:color="auto"/>
      </w:divBdr>
    </w:div>
    <w:div w:id="754326971">
      <w:bodyDiv w:val="1"/>
      <w:marLeft w:val="0"/>
      <w:marRight w:val="0"/>
      <w:marTop w:val="0"/>
      <w:marBottom w:val="0"/>
      <w:divBdr>
        <w:top w:val="none" w:sz="0" w:space="0" w:color="auto"/>
        <w:left w:val="none" w:sz="0" w:space="0" w:color="auto"/>
        <w:bottom w:val="none" w:sz="0" w:space="0" w:color="auto"/>
        <w:right w:val="none" w:sz="0" w:space="0" w:color="auto"/>
      </w:divBdr>
    </w:div>
    <w:div w:id="831875349">
      <w:bodyDiv w:val="1"/>
      <w:marLeft w:val="0"/>
      <w:marRight w:val="0"/>
      <w:marTop w:val="0"/>
      <w:marBottom w:val="0"/>
      <w:divBdr>
        <w:top w:val="none" w:sz="0" w:space="0" w:color="auto"/>
        <w:left w:val="none" w:sz="0" w:space="0" w:color="auto"/>
        <w:bottom w:val="none" w:sz="0" w:space="0" w:color="auto"/>
        <w:right w:val="none" w:sz="0" w:space="0" w:color="auto"/>
      </w:divBdr>
      <w:divsChild>
        <w:div w:id="1523008758">
          <w:marLeft w:val="0"/>
          <w:marRight w:val="0"/>
          <w:marTop w:val="0"/>
          <w:marBottom w:val="0"/>
          <w:divBdr>
            <w:top w:val="none" w:sz="0" w:space="0" w:color="auto"/>
            <w:left w:val="none" w:sz="0" w:space="0" w:color="auto"/>
            <w:bottom w:val="none" w:sz="0" w:space="0" w:color="auto"/>
            <w:right w:val="none" w:sz="0" w:space="0" w:color="auto"/>
          </w:divBdr>
          <w:divsChild>
            <w:div w:id="18046175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92664583">
      <w:bodyDiv w:val="1"/>
      <w:marLeft w:val="0"/>
      <w:marRight w:val="0"/>
      <w:marTop w:val="0"/>
      <w:marBottom w:val="0"/>
      <w:divBdr>
        <w:top w:val="none" w:sz="0" w:space="0" w:color="auto"/>
        <w:left w:val="none" w:sz="0" w:space="0" w:color="auto"/>
        <w:bottom w:val="none" w:sz="0" w:space="0" w:color="auto"/>
        <w:right w:val="none" w:sz="0" w:space="0" w:color="auto"/>
      </w:divBdr>
      <w:divsChild>
        <w:div w:id="541601087">
          <w:marLeft w:val="0"/>
          <w:marRight w:val="0"/>
          <w:marTop w:val="0"/>
          <w:marBottom w:val="0"/>
          <w:divBdr>
            <w:top w:val="none" w:sz="0" w:space="0" w:color="auto"/>
            <w:left w:val="none" w:sz="0" w:space="0" w:color="auto"/>
            <w:bottom w:val="none" w:sz="0" w:space="0" w:color="auto"/>
            <w:right w:val="none" w:sz="0" w:space="0" w:color="auto"/>
          </w:divBdr>
          <w:divsChild>
            <w:div w:id="268068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0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torial.tirant.com/cl/index2col?col=3782&amp;beg=0&amp;" TargetMode="External"/><Relationship Id="rId5" Type="http://schemas.openxmlformats.org/officeDocument/2006/relationships/hyperlink" Target="https://editorial.tirant.com/cl/autorList/manuel-bernet-paez-52050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Bernet Páez</dc:creator>
  <cp:keywords/>
  <dc:description/>
  <cp:lastModifiedBy>Mónica Castro</cp:lastModifiedBy>
  <cp:revision>12</cp:revision>
  <dcterms:created xsi:type="dcterms:W3CDTF">2025-05-06T19:57:00Z</dcterms:created>
  <dcterms:modified xsi:type="dcterms:W3CDTF">2025-05-06T20:04:00Z</dcterms:modified>
</cp:coreProperties>
</file>